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0F4C" w:rsidRDefault="00FC4979" w:rsidP="00A74545">
      <w:pPr>
        <w:spacing w:before="120" w:after="0" w:line="240" w:lineRule="auto"/>
        <w:jc w:val="center"/>
        <w:rPr>
          <w:b/>
        </w:rPr>
      </w:pPr>
      <w:r>
        <w:rPr>
          <w:b/>
        </w:rPr>
        <w:t xml:space="preserve">Az ingatlanpiac további </w:t>
      </w:r>
      <w:r w:rsidR="004E315B">
        <w:rPr>
          <w:b/>
        </w:rPr>
        <w:t>fejlődését,</w:t>
      </w:r>
      <w:r>
        <w:rPr>
          <w:b/>
        </w:rPr>
        <w:t xml:space="preserve"> </w:t>
      </w:r>
      <w:r w:rsidR="007E38D5">
        <w:rPr>
          <w:b/>
        </w:rPr>
        <w:t xml:space="preserve">akár 20%-kal </w:t>
      </w:r>
      <w:r w:rsidR="004E315B">
        <w:rPr>
          <w:b/>
        </w:rPr>
        <w:t>b</w:t>
      </w:r>
      <w:r>
        <w:rPr>
          <w:b/>
        </w:rPr>
        <w:t>ő</w:t>
      </w:r>
      <w:r w:rsidR="004E315B">
        <w:rPr>
          <w:b/>
        </w:rPr>
        <w:t>vülő</w:t>
      </w:r>
      <w:r>
        <w:rPr>
          <w:b/>
        </w:rPr>
        <w:t xml:space="preserve"> lakáspiaci </w:t>
      </w:r>
      <w:r w:rsidR="00343218">
        <w:rPr>
          <w:b/>
        </w:rPr>
        <w:t xml:space="preserve">hitelkihelyezést </w:t>
      </w:r>
      <w:r w:rsidR="00382E72">
        <w:rPr>
          <w:b/>
        </w:rPr>
        <w:t xml:space="preserve">és közel háromszoros </w:t>
      </w:r>
      <w:r w:rsidR="004E315B">
        <w:rPr>
          <w:b/>
        </w:rPr>
        <w:t xml:space="preserve">profitot </w:t>
      </w:r>
      <w:r>
        <w:rPr>
          <w:b/>
        </w:rPr>
        <w:t xml:space="preserve">vár az idei évtől a Duna House </w:t>
      </w:r>
    </w:p>
    <w:p w:rsidR="002E5D30" w:rsidRDefault="0051567A" w:rsidP="00A74545">
      <w:pPr>
        <w:spacing w:before="120" w:after="0" w:line="240" w:lineRule="auto"/>
        <w:jc w:val="center"/>
        <w:rPr>
          <w:i/>
        </w:rPr>
      </w:pPr>
      <w:r>
        <w:rPr>
          <w:i/>
        </w:rPr>
        <w:t>A</w:t>
      </w:r>
      <w:r w:rsidRPr="0051567A">
        <w:rPr>
          <w:i/>
        </w:rPr>
        <w:t xml:space="preserve"> </w:t>
      </w:r>
      <w:r>
        <w:rPr>
          <w:i/>
        </w:rPr>
        <w:t>c</w:t>
      </w:r>
      <w:r w:rsidRPr="0051567A">
        <w:rPr>
          <w:i/>
        </w:rPr>
        <w:t>égcsoport 4,7 milliárd Ft-os árbevétel mellett 918 millió Ft adózott eredményt ért el</w:t>
      </w:r>
      <w:r w:rsidR="00FC4979">
        <w:rPr>
          <w:i/>
        </w:rPr>
        <w:t xml:space="preserve"> tavaly</w:t>
      </w:r>
    </w:p>
    <w:p w:rsidR="0051567A" w:rsidRPr="001967E6" w:rsidRDefault="0051567A" w:rsidP="00A74545">
      <w:pPr>
        <w:spacing w:before="120" w:after="0" w:line="240" w:lineRule="auto"/>
        <w:jc w:val="center"/>
        <w:rPr>
          <w:b/>
        </w:rPr>
      </w:pPr>
    </w:p>
    <w:p w:rsidR="00DC6AD7" w:rsidRDefault="00416744" w:rsidP="00A74545">
      <w:pPr>
        <w:spacing w:before="120" w:after="0" w:line="240" w:lineRule="auto"/>
        <w:jc w:val="both"/>
        <w:rPr>
          <w:b/>
        </w:rPr>
      </w:pPr>
      <w:r>
        <w:rPr>
          <w:i/>
        </w:rPr>
        <w:t xml:space="preserve">Budapest, 2018. </w:t>
      </w:r>
      <w:r w:rsidR="0051567A">
        <w:rPr>
          <w:i/>
        </w:rPr>
        <w:t>február 28</w:t>
      </w:r>
      <w:r w:rsidR="00E26BF6" w:rsidRPr="00E26BF6">
        <w:rPr>
          <w:i/>
        </w:rPr>
        <w:t>.</w:t>
      </w:r>
      <w:r w:rsidR="00E26BF6">
        <w:t xml:space="preserve"> – </w:t>
      </w:r>
      <w:r w:rsidR="00B11BC8">
        <w:rPr>
          <w:b/>
        </w:rPr>
        <w:t>A Duna House</w:t>
      </w:r>
      <w:r w:rsidR="00646579">
        <w:rPr>
          <w:b/>
        </w:rPr>
        <w:t xml:space="preserve"> Holdig Nyrt.</w:t>
      </w:r>
      <w:r w:rsidR="00B11BC8">
        <w:rPr>
          <w:b/>
        </w:rPr>
        <w:t xml:space="preserve"> közzétette tavalyi utolsó neg</w:t>
      </w:r>
      <w:r w:rsidR="008A29E6">
        <w:rPr>
          <w:b/>
        </w:rPr>
        <w:t>yedéves és éves eredményeit</w:t>
      </w:r>
      <w:r w:rsidR="00646579">
        <w:rPr>
          <w:b/>
        </w:rPr>
        <w:t xml:space="preserve">, valamint idei várakozásait. </w:t>
      </w:r>
      <w:r w:rsidR="00FC4979">
        <w:rPr>
          <w:b/>
        </w:rPr>
        <w:t>A cégcsoport a</w:t>
      </w:r>
      <w:r w:rsidR="00FC4979" w:rsidRPr="00646579">
        <w:rPr>
          <w:b/>
        </w:rPr>
        <w:t xml:space="preserve"> 2018-as évre a konszolidált éves adózott eredmény tekintetében 2,7 – 2,9 milliárd forintos </w:t>
      </w:r>
      <w:r w:rsidR="00D10F32">
        <w:rPr>
          <w:b/>
        </w:rPr>
        <w:t>eredménycélt</w:t>
      </w:r>
      <w:r w:rsidR="00FC4979" w:rsidRPr="00646579">
        <w:rPr>
          <w:b/>
        </w:rPr>
        <w:t xml:space="preserve"> jelentett be</w:t>
      </w:r>
      <w:r w:rsidR="00FC4979">
        <w:rPr>
          <w:b/>
        </w:rPr>
        <w:t>, és további bővülésre számít az ingatlanpiacon. A lakóingatlanpiacon ez 160-180 ezres tranzakciószám</w:t>
      </w:r>
      <w:r w:rsidR="002C27B8">
        <w:rPr>
          <w:b/>
        </w:rPr>
        <w:t xml:space="preserve">mal </w:t>
      </w:r>
      <w:r w:rsidR="00FC4979">
        <w:rPr>
          <w:b/>
        </w:rPr>
        <w:t>10-20%-os bővülést jelent</w:t>
      </w:r>
      <w:r w:rsidR="002C27B8">
        <w:rPr>
          <w:b/>
        </w:rPr>
        <w:t>het</w:t>
      </w:r>
      <w:r w:rsidR="00FC4979">
        <w:rPr>
          <w:b/>
        </w:rPr>
        <w:t xml:space="preserve"> a tavalyi évhez képest. Az árváltozás mértékében 5-10 %-os bővülést, a lakáscélú </w:t>
      </w:r>
      <w:r w:rsidR="00343218">
        <w:rPr>
          <w:b/>
        </w:rPr>
        <w:t xml:space="preserve">hitelkihelyezések </w:t>
      </w:r>
      <w:r w:rsidR="00FC4979">
        <w:rPr>
          <w:b/>
        </w:rPr>
        <w:t xml:space="preserve">mértékében ennél nagyobb 15-20%-os növekedést vár a cégcsoport. </w:t>
      </w:r>
      <w:r w:rsidR="007E38D5">
        <w:rPr>
          <w:b/>
        </w:rPr>
        <w:t>A Duna House eredményeit tekintve erős évet zárt tavaly, a</w:t>
      </w:r>
      <w:r w:rsidR="00646579">
        <w:rPr>
          <w:b/>
        </w:rPr>
        <w:t xml:space="preserve"> c</w:t>
      </w:r>
      <w:r w:rsidR="0051567A" w:rsidRPr="00646579">
        <w:rPr>
          <w:b/>
        </w:rPr>
        <w:t>égcsop</w:t>
      </w:r>
      <w:r w:rsidR="007E38D5">
        <w:rPr>
          <w:b/>
        </w:rPr>
        <w:t>ort 2017. negyedik negyedévében</w:t>
      </w:r>
      <w:r w:rsidR="0051567A" w:rsidRPr="00646579">
        <w:rPr>
          <w:b/>
        </w:rPr>
        <w:t>, az előző év negyedik negyedévéhez képest 46%-kal emelkedve megközelítette a 238 millió Ft-os EBITDA szintet.</w:t>
      </w:r>
      <w:r w:rsidR="00646579" w:rsidRPr="00646579">
        <w:rPr>
          <w:b/>
        </w:rPr>
        <w:t xml:space="preserve"> Éves szinten a c</w:t>
      </w:r>
      <w:r w:rsidR="0051567A" w:rsidRPr="00646579">
        <w:rPr>
          <w:b/>
        </w:rPr>
        <w:t>égcsoport 4,7 milliárd Ft-os árbevétel mellett 918 mill</w:t>
      </w:r>
      <w:r w:rsidR="004E315B">
        <w:rPr>
          <w:b/>
        </w:rPr>
        <w:t>ió Ft adózott eredményt ért el, a</w:t>
      </w:r>
      <w:r w:rsidR="0051567A" w:rsidRPr="00646579">
        <w:rPr>
          <w:b/>
        </w:rPr>
        <w:t xml:space="preserve"> fejlesztések nélkül számított korrigált adózott eredmény </w:t>
      </w:r>
      <w:r w:rsidR="00646579" w:rsidRPr="00646579">
        <w:rPr>
          <w:b/>
        </w:rPr>
        <w:t>981 millió Ft volt 2017-ben</w:t>
      </w:r>
      <w:r w:rsidR="005910F6">
        <w:rPr>
          <w:b/>
        </w:rPr>
        <w:t>.</w:t>
      </w:r>
    </w:p>
    <w:p w:rsidR="005910F6" w:rsidRDefault="005910F6" w:rsidP="00A74545">
      <w:pPr>
        <w:spacing w:before="120" w:after="0" w:line="240" w:lineRule="auto"/>
        <w:jc w:val="both"/>
        <w:rPr>
          <w:b/>
        </w:rPr>
      </w:pPr>
    </w:p>
    <w:p w:rsidR="000B5691" w:rsidRDefault="002C27B8" w:rsidP="00DC6AD7">
      <w:pPr>
        <w:spacing w:after="0" w:line="240" w:lineRule="auto"/>
        <w:jc w:val="both"/>
        <w:rPr>
          <w:rFonts w:eastAsia="Times New Roman"/>
        </w:rPr>
      </w:pPr>
      <w:r w:rsidRPr="004E315B">
        <w:rPr>
          <w:rFonts w:eastAsia="Times New Roman"/>
          <w:i/>
        </w:rPr>
        <w:t>„Kelet-Közép-Európa ingatlanpiaca folyamatos fejlődésen megy keresztül. A hazai piac várakozásaink alapján idén sem fog lassítani, így tovább növekvő tranzakciószámot és növekvő lakáscélú hitelkihelyezéseket várunk, amelyek élénkíteni fogják a keresleti és kínálati oldalt egyaránt.</w:t>
      </w:r>
      <w:r w:rsidR="00DC6AD7">
        <w:rPr>
          <w:rFonts w:eastAsia="Times New Roman"/>
          <w:i/>
        </w:rPr>
        <w:t xml:space="preserve"> Tavaly Magyarország mellett már Lengyelországban is nyereségesek tudtunk lenni, ami nagyon jó előjel a cégcsoport számára az idei évre.</w:t>
      </w:r>
      <w:r w:rsidR="004E315B" w:rsidRPr="004E315B">
        <w:rPr>
          <w:rFonts w:eastAsia="Times New Roman"/>
          <w:i/>
        </w:rPr>
        <w:t>”</w:t>
      </w:r>
      <w:r>
        <w:rPr>
          <w:rFonts w:eastAsia="Times New Roman"/>
        </w:rPr>
        <w:t xml:space="preserve"> </w:t>
      </w:r>
      <w:r w:rsidRPr="002C27B8">
        <w:rPr>
          <w:rFonts w:eastAsia="Times New Roman"/>
        </w:rPr>
        <w:t xml:space="preserve"> </w:t>
      </w:r>
      <w:r w:rsidR="00E1245A">
        <w:rPr>
          <w:rFonts w:eastAsia="Times New Roman"/>
        </w:rPr>
        <w:t xml:space="preserve">– </w:t>
      </w:r>
      <w:r w:rsidR="00D10F32">
        <w:rPr>
          <w:rFonts w:eastAsia="Times New Roman"/>
        </w:rPr>
        <w:t xml:space="preserve">nyilatkozta </w:t>
      </w:r>
      <w:r w:rsidR="00D10F32">
        <w:rPr>
          <w:rFonts w:eastAsia="Times New Roman"/>
          <w:b/>
        </w:rPr>
        <w:t>Guy</w:t>
      </w:r>
      <w:r w:rsidR="00D10F32" w:rsidRPr="004E315B">
        <w:rPr>
          <w:rFonts w:eastAsia="Times New Roman"/>
          <w:b/>
        </w:rPr>
        <w:t xml:space="preserve"> Dymschiz, a Duna House Holding Nyrt. </w:t>
      </w:r>
      <w:r w:rsidR="00D10F32">
        <w:rPr>
          <w:rFonts w:eastAsia="Times New Roman"/>
          <w:b/>
        </w:rPr>
        <w:t>társ- vezérigazgatója</w:t>
      </w:r>
      <w:r w:rsidR="00D10F32" w:rsidRPr="004E315B">
        <w:rPr>
          <w:rFonts w:eastAsia="Times New Roman"/>
          <w:b/>
        </w:rPr>
        <w:t>.</w:t>
      </w:r>
      <w:r w:rsidR="00D10F32">
        <w:rPr>
          <w:rFonts w:eastAsia="Times New Roman"/>
          <w:b/>
        </w:rPr>
        <w:t xml:space="preserve"> </w:t>
      </w:r>
      <w:r w:rsidRPr="00E1245A">
        <w:rPr>
          <w:rFonts w:eastAsia="Times New Roman"/>
          <w:i/>
        </w:rPr>
        <w:t>„</w:t>
      </w:r>
      <w:r w:rsidR="004E315B">
        <w:rPr>
          <w:rFonts w:eastAsia="Times New Roman"/>
          <w:i/>
        </w:rPr>
        <w:t xml:space="preserve">Ezeknek köszönhetően </w:t>
      </w:r>
      <w:r w:rsidRPr="00E1245A">
        <w:rPr>
          <w:rFonts w:eastAsia="Times New Roman"/>
          <w:i/>
        </w:rPr>
        <w:t>a fejlesztések nélkül számított korrigált eredmény tekint</w:t>
      </w:r>
      <w:r w:rsidR="00DC6AD7">
        <w:rPr>
          <w:rFonts w:eastAsia="Times New Roman"/>
          <w:i/>
        </w:rPr>
        <w:t>etében 950- 1150 millió forint közötti</w:t>
      </w:r>
      <w:r w:rsidRPr="00E1245A">
        <w:rPr>
          <w:rFonts w:eastAsia="Times New Roman"/>
          <w:i/>
        </w:rPr>
        <w:t xml:space="preserve"> eredmény</w:t>
      </w:r>
      <w:r w:rsidR="00DC6AD7">
        <w:rPr>
          <w:rFonts w:eastAsia="Times New Roman"/>
          <w:i/>
        </w:rPr>
        <w:t>célt határoztunk meg</w:t>
      </w:r>
      <w:r w:rsidRPr="00E1245A">
        <w:rPr>
          <w:rFonts w:eastAsia="Times New Roman"/>
          <w:i/>
        </w:rPr>
        <w:t>. A</w:t>
      </w:r>
      <w:r>
        <w:rPr>
          <w:rFonts w:eastAsia="Times New Roman"/>
          <w:i/>
        </w:rPr>
        <w:t xml:space="preserve"> </w:t>
      </w:r>
      <w:r w:rsidR="004E315B">
        <w:rPr>
          <w:rFonts w:eastAsia="Times New Roman"/>
          <w:i/>
        </w:rPr>
        <w:t xml:space="preserve">saját </w:t>
      </w:r>
      <w:r>
        <w:rPr>
          <w:rFonts w:eastAsia="Times New Roman"/>
          <w:i/>
        </w:rPr>
        <w:t>fejlesztése</w:t>
      </w:r>
      <w:r w:rsidR="004E315B">
        <w:rPr>
          <w:rFonts w:eastAsia="Times New Roman"/>
          <w:i/>
        </w:rPr>
        <w:t>in</w:t>
      </w:r>
      <w:r>
        <w:rPr>
          <w:rFonts w:eastAsia="Times New Roman"/>
          <w:i/>
        </w:rPr>
        <w:t xml:space="preserve">ket tekintve, </w:t>
      </w:r>
      <w:r w:rsidRPr="00E1245A">
        <w:rPr>
          <w:rFonts w:eastAsia="Times New Roman"/>
          <w:i/>
        </w:rPr>
        <w:t>a Reviczky projektnél 680 millió forint éves adózott eredmény</w:t>
      </w:r>
      <w:r>
        <w:rPr>
          <w:rFonts w:eastAsia="Times New Roman"/>
          <w:i/>
        </w:rPr>
        <w:t xml:space="preserve"> várható </w:t>
      </w:r>
      <w:r w:rsidRPr="00E1245A">
        <w:rPr>
          <w:rFonts w:eastAsia="Times New Roman"/>
          <w:i/>
        </w:rPr>
        <w:t xml:space="preserve">a lakások 2018-ra tervezett 100%-os értékesítése esetén, míg a Forest Hill projektnél az értékesíthető négyzetméterek 78%-os </w:t>
      </w:r>
      <w:r>
        <w:rPr>
          <w:rFonts w:eastAsia="Times New Roman"/>
          <w:i/>
        </w:rPr>
        <w:t xml:space="preserve">idei </w:t>
      </w:r>
      <w:r w:rsidRPr="00E1245A">
        <w:rPr>
          <w:rFonts w:eastAsia="Times New Roman"/>
          <w:i/>
        </w:rPr>
        <w:t>értékesítése esetén az éves adózott eredmény 1060 millió forint lesz.”</w:t>
      </w:r>
      <w:r w:rsidR="00D10F32" w:rsidRPr="00D10F32">
        <w:rPr>
          <w:rFonts w:eastAsia="Times New Roman"/>
        </w:rPr>
        <w:t xml:space="preserve"> </w:t>
      </w:r>
      <w:r w:rsidR="00D10F32">
        <w:rPr>
          <w:rFonts w:eastAsia="Times New Roman"/>
        </w:rPr>
        <w:t xml:space="preserve">– tette hozzá </w:t>
      </w:r>
      <w:r w:rsidR="00D10F32" w:rsidRPr="004E315B">
        <w:rPr>
          <w:rFonts w:eastAsia="Times New Roman"/>
          <w:b/>
        </w:rPr>
        <w:t xml:space="preserve">Doron Dymschiz, a Duna House Holding Nyrt. </w:t>
      </w:r>
      <w:r w:rsidR="00D10F32">
        <w:rPr>
          <w:rFonts w:eastAsia="Times New Roman"/>
          <w:b/>
        </w:rPr>
        <w:t>társ- vezérigazgatója</w:t>
      </w:r>
      <w:r w:rsidR="00D10F32" w:rsidRPr="004E315B">
        <w:rPr>
          <w:rFonts w:eastAsia="Times New Roman"/>
          <w:b/>
        </w:rPr>
        <w:t>.</w:t>
      </w:r>
    </w:p>
    <w:p w:rsidR="00002E91" w:rsidRDefault="00002E91" w:rsidP="00DC6AD7">
      <w:pPr>
        <w:spacing w:after="0" w:line="240" w:lineRule="auto"/>
        <w:jc w:val="both"/>
        <w:rPr>
          <w:rFonts w:eastAsia="Times New Roman"/>
          <w:b/>
          <w:u w:val="single"/>
        </w:rPr>
      </w:pPr>
    </w:p>
    <w:p w:rsidR="000B5691" w:rsidRPr="000B5691" w:rsidRDefault="000B5691" w:rsidP="00DC6AD7">
      <w:pPr>
        <w:spacing w:after="0" w:line="240" w:lineRule="auto"/>
        <w:jc w:val="both"/>
        <w:rPr>
          <w:rFonts w:eastAsia="Times New Roman"/>
          <w:b/>
          <w:u w:val="single"/>
        </w:rPr>
      </w:pPr>
      <w:r w:rsidRPr="000B5691">
        <w:rPr>
          <w:rFonts w:eastAsia="Times New Roman"/>
          <w:b/>
          <w:u w:val="single"/>
        </w:rPr>
        <w:t>2017-es eredmények</w:t>
      </w:r>
    </w:p>
    <w:p w:rsidR="006047DB" w:rsidRDefault="007E38D5" w:rsidP="00DC6AD7">
      <w:pPr>
        <w:spacing w:after="0" w:line="240" w:lineRule="auto"/>
        <w:jc w:val="both"/>
        <w:rPr>
          <w:rFonts w:eastAsia="Times New Roman"/>
        </w:rPr>
      </w:pPr>
      <w:r>
        <w:rPr>
          <w:rFonts w:eastAsia="Times New Roman"/>
        </w:rPr>
        <w:t>A tavalyi évben a t</w:t>
      </w:r>
      <w:r w:rsidR="006047DB">
        <w:rPr>
          <w:rFonts w:eastAsia="Times New Roman"/>
        </w:rPr>
        <w:t xml:space="preserve">ársaság növekedésnek motorja </w:t>
      </w:r>
      <w:r w:rsidR="006C332E">
        <w:rPr>
          <w:rFonts w:eastAsia="Times New Roman"/>
        </w:rPr>
        <w:t xml:space="preserve">elsősorban </w:t>
      </w:r>
      <w:r w:rsidR="006047DB">
        <w:rPr>
          <w:rFonts w:eastAsia="Times New Roman"/>
        </w:rPr>
        <w:t>a pénzügyi termékek közvetítése volt, ahol éves szinten közel 50%-os növekedéssel 65 milliárd forint összértékben közvetített jelzáloghitelt a cégcsoport a magyar és lengyel piacokon. A cégcsoport összesen 236 irodából álló franchise hálózatai által generált ingatlanközvetítési jutalékbevételek 11%-kal emelkedtek az év során.</w:t>
      </w:r>
    </w:p>
    <w:p w:rsidR="006C332E" w:rsidRDefault="006C332E" w:rsidP="00A74545">
      <w:pPr>
        <w:spacing w:before="120" w:after="0" w:line="240" w:lineRule="auto"/>
        <w:jc w:val="both"/>
        <w:rPr>
          <w:rFonts w:eastAsia="Times New Roman"/>
        </w:rPr>
      </w:pPr>
      <w:r>
        <w:rPr>
          <w:rFonts w:eastAsia="Times New Roman"/>
        </w:rPr>
        <w:t>A cégcsoport árbevételének jelenleg 69%-a származik Magyarországról, a lengyel és cseh piacok részaránya pedig 25 és 6 százalék. A le</w:t>
      </w:r>
      <w:r w:rsidR="005910F6">
        <w:rPr>
          <w:rFonts w:eastAsia="Times New Roman"/>
        </w:rPr>
        <w:t xml:space="preserve">ngyel leányvállalatok 2017-ben nyereségessé váltak </w:t>
      </w:r>
      <w:r>
        <w:rPr>
          <w:rFonts w:eastAsia="Times New Roman"/>
        </w:rPr>
        <w:t>és közel 20 millió forint üzemi eredménnyel zárták az évet</w:t>
      </w:r>
      <w:r w:rsidR="005910F6">
        <w:rPr>
          <w:rFonts w:eastAsia="Times New Roman"/>
        </w:rPr>
        <w:t>.</w:t>
      </w:r>
      <w:r>
        <w:rPr>
          <w:rFonts w:eastAsia="Times New Roman"/>
        </w:rPr>
        <w:t xml:space="preserve"> </w:t>
      </w:r>
      <w:r w:rsidR="0074640D">
        <w:rPr>
          <w:rFonts w:eastAsia="Times New Roman"/>
        </w:rPr>
        <w:t>A cégcsoport e</w:t>
      </w:r>
      <w:r>
        <w:rPr>
          <w:rFonts w:eastAsia="Times New Roman"/>
        </w:rPr>
        <w:t>redménytermelés</w:t>
      </w:r>
      <w:r w:rsidR="0074640D">
        <w:rPr>
          <w:rFonts w:eastAsia="Times New Roman"/>
        </w:rPr>
        <w:t>e</w:t>
      </w:r>
      <w:r>
        <w:rPr>
          <w:rFonts w:eastAsia="Times New Roman"/>
        </w:rPr>
        <w:t xml:space="preserve"> szempontjából jelenleg még Magyarország a meghatározó.</w:t>
      </w:r>
    </w:p>
    <w:p w:rsidR="007E38D5" w:rsidRDefault="0051567A" w:rsidP="00A74545">
      <w:pPr>
        <w:spacing w:before="120" w:after="0" w:line="240" w:lineRule="auto"/>
        <w:jc w:val="both"/>
        <w:rPr>
          <w:rFonts w:eastAsia="Times New Roman"/>
        </w:rPr>
      </w:pPr>
      <w:r>
        <w:rPr>
          <w:rFonts w:eastAsia="Times New Roman"/>
        </w:rPr>
        <w:t xml:space="preserve">A </w:t>
      </w:r>
      <w:r w:rsidR="004D00F2">
        <w:rPr>
          <w:rFonts w:eastAsia="Times New Roman"/>
        </w:rPr>
        <w:t>2017-es eredmények</w:t>
      </w:r>
      <w:r>
        <w:rPr>
          <w:rFonts w:eastAsia="Times New Roman"/>
        </w:rPr>
        <w:t xml:space="preserve"> alapján</w:t>
      </w:r>
      <w:r w:rsidR="007E38D5">
        <w:rPr>
          <w:rFonts w:eastAsia="Times New Roman"/>
        </w:rPr>
        <w:t xml:space="preserve"> </w:t>
      </w:r>
      <w:r>
        <w:rPr>
          <w:rFonts w:eastAsia="Times New Roman"/>
        </w:rPr>
        <w:t>a</w:t>
      </w:r>
      <w:r w:rsidR="007E38D5">
        <w:rPr>
          <w:rFonts w:eastAsia="Times New Roman"/>
        </w:rPr>
        <w:t xml:space="preserve"> Duna House I</w:t>
      </w:r>
      <w:r>
        <w:rPr>
          <w:rFonts w:eastAsia="Times New Roman"/>
        </w:rPr>
        <w:t>gazgatóság</w:t>
      </w:r>
      <w:r w:rsidR="007E38D5">
        <w:rPr>
          <w:rFonts w:eastAsia="Times New Roman"/>
        </w:rPr>
        <w:t>a</w:t>
      </w:r>
      <w:r>
        <w:rPr>
          <w:rFonts w:eastAsia="Times New Roman"/>
        </w:rPr>
        <w:t xml:space="preserve"> minimum 600 millió Ft, azaz részvényenként 176 F</w:t>
      </w:r>
      <w:r w:rsidR="000B5691">
        <w:rPr>
          <w:rFonts w:eastAsia="Times New Roman"/>
        </w:rPr>
        <w:t>t osztalék kifizetését fogja a k</w:t>
      </w:r>
      <w:r>
        <w:rPr>
          <w:rFonts w:eastAsia="Times New Roman"/>
        </w:rPr>
        <w:t xml:space="preserve">özgyűlés elé terjeszteni. </w:t>
      </w:r>
    </w:p>
    <w:p w:rsidR="0074640D" w:rsidRDefault="0051567A" w:rsidP="00A74545">
      <w:pPr>
        <w:spacing w:before="120" w:after="0" w:line="240" w:lineRule="auto"/>
        <w:jc w:val="both"/>
        <w:rPr>
          <w:rFonts w:eastAsia="Times New Roman"/>
        </w:rPr>
      </w:pPr>
      <w:r>
        <w:rPr>
          <w:rFonts w:eastAsia="Times New Roman"/>
        </w:rPr>
        <w:t xml:space="preserve">A </w:t>
      </w:r>
      <w:proofErr w:type="spellStart"/>
      <w:r>
        <w:rPr>
          <w:rFonts w:eastAsia="Times New Roman"/>
        </w:rPr>
        <w:t>MyCity</w:t>
      </w:r>
      <w:proofErr w:type="spellEnd"/>
      <w:r>
        <w:rPr>
          <w:rFonts w:eastAsia="Times New Roman"/>
        </w:rPr>
        <w:t xml:space="preserve"> fejlesztési projektjei ütemterv szerint haladnak. A Reviczky Liget lakásaira vonatkozó használatbavételi engedélyt a Társaság megszerezte, folyamatban van a lakások átadása, pénzügyi elszámolásuk pedig a 2018-as pénzügyi évet fogja érinteni. A Forest Hill lakópark kivitelezésének befejezése 2018. szeptember</w:t>
      </w:r>
      <w:r w:rsidR="006F78EF">
        <w:rPr>
          <w:rFonts w:eastAsia="Times New Roman"/>
        </w:rPr>
        <w:t>ig várható</w:t>
      </w:r>
      <w:r>
        <w:rPr>
          <w:rFonts w:eastAsia="Times New Roman"/>
        </w:rPr>
        <w:t xml:space="preserve">. A </w:t>
      </w:r>
      <w:proofErr w:type="spellStart"/>
      <w:r>
        <w:rPr>
          <w:rFonts w:eastAsia="Times New Roman"/>
        </w:rPr>
        <w:t>MyCity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Residence</w:t>
      </w:r>
      <w:proofErr w:type="spellEnd"/>
      <w:r>
        <w:rPr>
          <w:rFonts w:eastAsia="Times New Roman"/>
        </w:rPr>
        <w:t xml:space="preserve"> kivitelezése megkezdődött. </w:t>
      </w:r>
    </w:p>
    <w:p w:rsidR="002C5D60" w:rsidRDefault="002C5D60" w:rsidP="002C5D60">
      <w:pPr>
        <w:spacing w:before="120" w:after="0" w:line="240" w:lineRule="auto"/>
        <w:jc w:val="both"/>
        <w:rPr>
          <w:rFonts w:eastAsia="Times New Roman"/>
        </w:rPr>
      </w:pPr>
      <w:r w:rsidRPr="002C5D60">
        <w:rPr>
          <w:rFonts w:eastAsia="Times New Roman"/>
        </w:rPr>
        <w:t xml:space="preserve">A </w:t>
      </w:r>
      <w:hyperlink r:id="rId8" w:history="1">
        <w:r w:rsidRPr="002C5D60">
          <w:rPr>
            <w:rStyle w:val="Hiperhivatkozs"/>
            <w:rFonts w:eastAsia="Times New Roman"/>
          </w:rPr>
          <w:t>teljes negyedéves jelentés</w:t>
        </w:r>
      </w:hyperlink>
      <w:r w:rsidRPr="002C5D60">
        <w:rPr>
          <w:rFonts w:eastAsia="Times New Roman"/>
        </w:rPr>
        <w:t xml:space="preserve"> és a </w:t>
      </w:r>
      <w:hyperlink r:id="rId9" w:history="1">
        <w:r w:rsidRPr="002C5D60">
          <w:rPr>
            <w:rStyle w:val="Hiperhivatkozs"/>
            <w:rFonts w:eastAsia="Times New Roman"/>
          </w:rPr>
          <w:t>vezetőségi előrejelzés</w:t>
        </w:r>
      </w:hyperlink>
      <w:r>
        <w:rPr>
          <w:rFonts w:eastAsia="Times New Roman"/>
        </w:rPr>
        <w:t xml:space="preserve"> elérhető a BÉT honlapján!</w:t>
      </w:r>
    </w:p>
    <w:p w:rsidR="002C5D60" w:rsidRDefault="002C5D60" w:rsidP="002C5D60">
      <w:pPr>
        <w:spacing w:before="120" w:after="0" w:line="240" w:lineRule="auto"/>
        <w:jc w:val="both"/>
      </w:pPr>
      <w:bookmarkStart w:id="0" w:name="_GoBack"/>
      <w:bookmarkEnd w:id="0"/>
    </w:p>
    <w:p w:rsidR="00EF4462" w:rsidRDefault="00EF4462" w:rsidP="00A74545">
      <w:pPr>
        <w:spacing w:before="120" w:after="0" w:line="240" w:lineRule="auto"/>
        <w:jc w:val="center"/>
      </w:pPr>
      <w:r>
        <w:t>---</w:t>
      </w:r>
    </w:p>
    <w:p w:rsidR="00EF4462" w:rsidRPr="00802AC4" w:rsidRDefault="00EF4462" w:rsidP="00A74545">
      <w:pPr>
        <w:spacing w:before="120" w:after="0" w:line="240" w:lineRule="auto"/>
        <w:jc w:val="both"/>
        <w:rPr>
          <w:sz w:val="20"/>
        </w:rPr>
      </w:pPr>
      <w:r>
        <w:rPr>
          <w:sz w:val="20"/>
        </w:rPr>
        <w:lastRenderedPageBreak/>
        <w:t xml:space="preserve">A Duna House </w:t>
      </w:r>
      <w:r w:rsidRPr="00802AC4">
        <w:rPr>
          <w:sz w:val="20"/>
        </w:rPr>
        <w:t xml:space="preserve">ingatlanpiaci elemzéseit és legfrissebb számait megtalálják a Duna House Barométer kiadványában: </w:t>
      </w:r>
      <w:hyperlink r:id="rId10" w:history="1">
        <w:r w:rsidRPr="00802AC4">
          <w:rPr>
            <w:rStyle w:val="Hiperhivatkozs"/>
            <w:sz w:val="20"/>
          </w:rPr>
          <w:t>https://dh.hu/barometer</w:t>
        </w:r>
      </w:hyperlink>
    </w:p>
    <w:p w:rsidR="00EF4462" w:rsidRDefault="00EF4462" w:rsidP="00321F17">
      <w:pPr>
        <w:spacing w:after="0"/>
        <w:jc w:val="both"/>
      </w:pPr>
    </w:p>
    <w:p w:rsidR="00EF4462" w:rsidRPr="00802AC4" w:rsidRDefault="00EF4462" w:rsidP="00321F17">
      <w:pPr>
        <w:spacing w:after="0"/>
        <w:jc w:val="both"/>
        <w:rPr>
          <w:sz w:val="20"/>
        </w:rPr>
      </w:pPr>
      <w:r w:rsidRPr="00802AC4">
        <w:rPr>
          <w:sz w:val="20"/>
        </w:rPr>
        <w:t>Sajtókapcsolat:</w:t>
      </w:r>
    </w:p>
    <w:p w:rsidR="00321F17" w:rsidRPr="00321F17" w:rsidRDefault="00321F17" w:rsidP="00321F17">
      <w:pPr>
        <w:spacing w:after="0"/>
        <w:ind w:left="708"/>
        <w:jc w:val="both"/>
        <w:rPr>
          <w:sz w:val="20"/>
        </w:rPr>
      </w:pPr>
      <w:r w:rsidRPr="00321F17">
        <w:rPr>
          <w:sz w:val="20"/>
        </w:rPr>
        <w:t>Benedikt Károly</w:t>
      </w:r>
    </w:p>
    <w:p w:rsidR="00321F17" w:rsidRPr="00321F17" w:rsidRDefault="00321F17" w:rsidP="00321F17">
      <w:pPr>
        <w:spacing w:after="0"/>
        <w:ind w:left="708"/>
        <w:jc w:val="both"/>
        <w:rPr>
          <w:sz w:val="20"/>
        </w:rPr>
      </w:pPr>
      <w:r w:rsidRPr="00321F17">
        <w:rPr>
          <w:sz w:val="20"/>
        </w:rPr>
        <w:t>PR és elemzési vezető</w:t>
      </w:r>
    </w:p>
    <w:p w:rsidR="00321F17" w:rsidRPr="00321F17" w:rsidRDefault="00321F17" w:rsidP="00321F17">
      <w:pPr>
        <w:spacing w:after="0"/>
        <w:ind w:left="708"/>
        <w:jc w:val="both"/>
        <w:rPr>
          <w:sz w:val="20"/>
        </w:rPr>
      </w:pPr>
      <w:r w:rsidRPr="00321F17">
        <w:rPr>
          <w:sz w:val="20"/>
        </w:rPr>
        <w:t>+36-(30) 811-0690</w:t>
      </w:r>
    </w:p>
    <w:p w:rsidR="00EF4462" w:rsidRDefault="002C5D60" w:rsidP="00321F17">
      <w:pPr>
        <w:spacing w:after="0"/>
        <w:ind w:left="708"/>
        <w:jc w:val="both"/>
        <w:rPr>
          <w:sz w:val="20"/>
        </w:rPr>
      </w:pPr>
      <w:hyperlink r:id="rId11" w:history="1">
        <w:r w:rsidR="00321F17" w:rsidRPr="00AE6A61">
          <w:rPr>
            <w:rStyle w:val="Hiperhivatkozs"/>
            <w:sz w:val="20"/>
          </w:rPr>
          <w:t>benedikt.karoly@dh.hu</w:t>
        </w:r>
      </w:hyperlink>
    </w:p>
    <w:p w:rsidR="00321F17" w:rsidRPr="00321F17" w:rsidRDefault="00321F17" w:rsidP="00321F17">
      <w:pPr>
        <w:spacing w:after="0"/>
        <w:ind w:left="708"/>
        <w:jc w:val="both"/>
        <w:rPr>
          <w:sz w:val="20"/>
        </w:rPr>
      </w:pPr>
    </w:p>
    <w:sectPr w:rsidR="00321F17" w:rsidRPr="00321F17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4032" w:rsidRDefault="00D54032" w:rsidP="00EF4462">
      <w:pPr>
        <w:spacing w:after="0" w:line="240" w:lineRule="auto"/>
      </w:pPr>
      <w:r>
        <w:separator/>
      </w:r>
    </w:p>
  </w:endnote>
  <w:endnote w:type="continuationSeparator" w:id="0">
    <w:p w:rsidR="00D54032" w:rsidRDefault="00D54032" w:rsidP="00EF44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4032" w:rsidRDefault="00D54032" w:rsidP="00EF4462">
      <w:pPr>
        <w:spacing w:after="0" w:line="240" w:lineRule="auto"/>
      </w:pPr>
      <w:r>
        <w:separator/>
      </w:r>
    </w:p>
  </w:footnote>
  <w:footnote w:type="continuationSeparator" w:id="0">
    <w:p w:rsidR="00D54032" w:rsidRDefault="00D54032" w:rsidP="00EF44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4462" w:rsidRDefault="00EF4462" w:rsidP="00EF4462">
    <w:pPr>
      <w:pStyle w:val="lfej"/>
      <w:rPr>
        <w:sz w:val="20"/>
      </w:rPr>
    </w:pPr>
    <w:r>
      <w:rPr>
        <w:noProof/>
        <w:lang w:eastAsia="hu-HU"/>
      </w:rPr>
      <w:drawing>
        <wp:anchor distT="0" distB="0" distL="114300" distR="114300" simplePos="0" relativeHeight="251659264" behindDoc="1" locked="0" layoutInCell="1" allowOverlap="1" wp14:anchorId="2CFE945A" wp14:editId="3D8E17FD">
          <wp:simplePos x="0" y="0"/>
          <wp:positionH relativeFrom="page">
            <wp:posOffset>450850</wp:posOffset>
          </wp:positionH>
          <wp:positionV relativeFrom="paragraph">
            <wp:posOffset>-231140</wp:posOffset>
          </wp:positionV>
          <wp:extent cx="1905000" cy="404495"/>
          <wp:effectExtent l="0" t="0" r="0" b="0"/>
          <wp:wrapTight wrapText="bothSides">
            <wp:wrapPolygon edited="0">
              <wp:start x="1728" y="0"/>
              <wp:lineTo x="216" y="10173"/>
              <wp:lineTo x="216" y="12207"/>
              <wp:lineTo x="1512" y="18311"/>
              <wp:lineTo x="1728" y="20345"/>
              <wp:lineTo x="3024" y="20345"/>
              <wp:lineTo x="20952" y="15259"/>
              <wp:lineTo x="20952" y="5086"/>
              <wp:lineTo x="3024" y="0"/>
              <wp:lineTo x="1728" y="0"/>
            </wp:wrapPolygon>
          </wp:wrapTight>
          <wp:docPr id="5" name="Kép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h_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5000" cy="404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F4462" w:rsidRPr="004E07CD" w:rsidRDefault="00EF4462" w:rsidP="00EF4462">
    <w:pPr>
      <w:pStyle w:val="lfej"/>
    </w:pPr>
    <w:r w:rsidRPr="004E07CD">
      <w:rPr>
        <w:sz w:val="20"/>
      </w:rPr>
      <w:t>SAJTÓKÖZLEMÉNY</w:t>
    </w:r>
  </w:p>
  <w:p w:rsidR="00EF4462" w:rsidRDefault="00EF446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3B6EBD"/>
    <w:multiLevelType w:val="hybridMultilevel"/>
    <w:tmpl w:val="13784274"/>
    <w:lvl w:ilvl="0" w:tplc="EF10E8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D3A4F340">
      <w:start w:val="230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A1E433C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EB68999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9258E4F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4B7A14A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7BA4BB5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90A6CEF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717AC8B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" w15:restartNumberingAfterBreak="0">
    <w:nsid w:val="7C047A86"/>
    <w:multiLevelType w:val="hybridMultilevel"/>
    <w:tmpl w:val="5D80710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7E6"/>
    <w:rsid w:val="00002E91"/>
    <w:rsid w:val="00051EC1"/>
    <w:rsid w:val="000543BB"/>
    <w:rsid w:val="00073D9A"/>
    <w:rsid w:val="00083231"/>
    <w:rsid w:val="000B5691"/>
    <w:rsid w:val="000B5B15"/>
    <w:rsid w:val="000E3C4C"/>
    <w:rsid w:val="000E5EC6"/>
    <w:rsid w:val="000F5720"/>
    <w:rsid w:val="00154174"/>
    <w:rsid w:val="001967E6"/>
    <w:rsid w:val="001C3564"/>
    <w:rsid w:val="0023319A"/>
    <w:rsid w:val="00234FE2"/>
    <w:rsid w:val="00274866"/>
    <w:rsid w:val="0028197B"/>
    <w:rsid w:val="002C25F9"/>
    <w:rsid w:val="002C27B8"/>
    <w:rsid w:val="002C5D60"/>
    <w:rsid w:val="002E5D30"/>
    <w:rsid w:val="003031F7"/>
    <w:rsid w:val="003200E2"/>
    <w:rsid w:val="00321F17"/>
    <w:rsid w:val="00343218"/>
    <w:rsid w:val="00347524"/>
    <w:rsid w:val="00382E72"/>
    <w:rsid w:val="003B74EC"/>
    <w:rsid w:val="003C4BE3"/>
    <w:rsid w:val="00406B09"/>
    <w:rsid w:val="00413248"/>
    <w:rsid w:val="00416744"/>
    <w:rsid w:val="004B3CB6"/>
    <w:rsid w:val="004D00F2"/>
    <w:rsid w:val="004E315B"/>
    <w:rsid w:val="004E422D"/>
    <w:rsid w:val="004F48B7"/>
    <w:rsid w:val="0050402C"/>
    <w:rsid w:val="0051567A"/>
    <w:rsid w:val="00520870"/>
    <w:rsid w:val="0053517A"/>
    <w:rsid w:val="00577EE4"/>
    <w:rsid w:val="005910F6"/>
    <w:rsid w:val="005E12CF"/>
    <w:rsid w:val="005E1B4E"/>
    <w:rsid w:val="006047DB"/>
    <w:rsid w:val="00646579"/>
    <w:rsid w:val="006C332E"/>
    <w:rsid w:val="006F4C83"/>
    <w:rsid w:val="006F78EF"/>
    <w:rsid w:val="00744409"/>
    <w:rsid w:val="0074640D"/>
    <w:rsid w:val="007A10A6"/>
    <w:rsid w:val="007A4280"/>
    <w:rsid w:val="007E38D5"/>
    <w:rsid w:val="007E4DFB"/>
    <w:rsid w:val="007E5D75"/>
    <w:rsid w:val="007F0646"/>
    <w:rsid w:val="00800474"/>
    <w:rsid w:val="00801696"/>
    <w:rsid w:val="00806B4F"/>
    <w:rsid w:val="008310D7"/>
    <w:rsid w:val="008A29E6"/>
    <w:rsid w:val="008B3227"/>
    <w:rsid w:val="008C3AEB"/>
    <w:rsid w:val="009111EB"/>
    <w:rsid w:val="009804B7"/>
    <w:rsid w:val="009F3CC3"/>
    <w:rsid w:val="00A13AF5"/>
    <w:rsid w:val="00A21B0A"/>
    <w:rsid w:val="00A74545"/>
    <w:rsid w:val="00A83EC5"/>
    <w:rsid w:val="00AA5625"/>
    <w:rsid w:val="00B11BC8"/>
    <w:rsid w:val="00B45B74"/>
    <w:rsid w:val="00B6358C"/>
    <w:rsid w:val="00B91C69"/>
    <w:rsid w:val="00BB4D31"/>
    <w:rsid w:val="00BC3FB0"/>
    <w:rsid w:val="00BD132F"/>
    <w:rsid w:val="00BE30EB"/>
    <w:rsid w:val="00BF7D7C"/>
    <w:rsid w:val="00C15BB0"/>
    <w:rsid w:val="00C93043"/>
    <w:rsid w:val="00CB5545"/>
    <w:rsid w:val="00CD689B"/>
    <w:rsid w:val="00D10F32"/>
    <w:rsid w:val="00D54032"/>
    <w:rsid w:val="00DA349F"/>
    <w:rsid w:val="00DB7647"/>
    <w:rsid w:val="00DC6AD7"/>
    <w:rsid w:val="00E072E0"/>
    <w:rsid w:val="00E1245A"/>
    <w:rsid w:val="00E12BB6"/>
    <w:rsid w:val="00E26BF6"/>
    <w:rsid w:val="00E32B4E"/>
    <w:rsid w:val="00E60F4C"/>
    <w:rsid w:val="00EF4462"/>
    <w:rsid w:val="00F35CA5"/>
    <w:rsid w:val="00F562A0"/>
    <w:rsid w:val="00FC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9C001"/>
  <w15:docId w15:val="{3E34B563-FCD6-4ECE-BB4C-6FC51F1B1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Kpalrs">
    <w:name w:val="caption"/>
    <w:basedOn w:val="Norml"/>
    <w:next w:val="Norml"/>
    <w:uiPriority w:val="35"/>
    <w:semiHidden/>
    <w:unhideWhenUsed/>
    <w:qFormat/>
    <w:rsid w:val="00C15BB0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60F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60F4C"/>
    <w:rPr>
      <w:rFonts w:ascii="Segoe UI" w:hAnsi="Segoe UI" w:cs="Segoe UI"/>
      <w:sz w:val="18"/>
      <w:szCs w:val="18"/>
    </w:rPr>
  </w:style>
  <w:style w:type="character" w:styleId="Hiperhivatkozs">
    <w:name w:val="Hyperlink"/>
    <w:basedOn w:val="Bekezdsalapbettpusa"/>
    <w:uiPriority w:val="99"/>
    <w:unhideWhenUsed/>
    <w:rsid w:val="00EF4462"/>
    <w:rPr>
      <w:color w:val="0000FF" w:themeColor="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EF44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F4462"/>
  </w:style>
  <w:style w:type="paragraph" w:styleId="llb">
    <w:name w:val="footer"/>
    <w:basedOn w:val="Norml"/>
    <w:link w:val="llbChar"/>
    <w:uiPriority w:val="99"/>
    <w:unhideWhenUsed/>
    <w:rsid w:val="00EF44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F4462"/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21F17"/>
    <w:rPr>
      <w:color w:val="808080"/>
      <w:shd w:val="clear" w:color="auto" w:fill="E6E6E6"/>
    </w:rPr>
  </w:style>
  <w:style w:type="character" w:styleId="Feloldatlanmegemlts">
    <w:name w:val="Unresolved Mention"/>
    <w:basedOn w:val="Bekezdsalapbettpusa"/>
    <w:uiPriority w:val="99"/>
    <w:semiHidden/>
    <w:unhideWhenUsed/>
    <w:rsid w:val="002E5D30"/>
    <w:rPr>
      <w:color w:val="808080"/>
      <w:shd w:val="clear" w:color="auto" w:fill="E6E6E6"/>
    </w:rPr>
  </w:style>
  <w:style w:type="paragraph" w:styleId="Listaszerbekezds">
    <w:name w:val="List Paragraph"/>
    <w:basedOn w:val="Norml"/>
    <w:uiPriority w:val="34"/>
    <w:qFormat/>
    <w:rsid w:val="006465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830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et.hu/site/newkib/hu/2018.02./A_Duna_House_Holding_Nyrt._negyedeves_jelentese_2017_Q4__124875170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enedikt.karoly@dh.h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h.hu/baromete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et.hu/site/newkib/hu/2018.02./Vezetosegi_elorejelzes_a_2018-as_uzleti_evre_vonatkozoan__124875222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5D0F91-4B83-438C-9E88-284BD10F1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528</Words>
  <Characters>3651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Horváth Ágnes</dc:creator>
  <cp:lastModifiedBy>Benedikt Károly</cp:lastModifiedBy>
  <cp:revision>4</cp:revision>
  <dcterms:created xsi:type="dcterms:W3CDTF">2018-02-28T15:00:00Z</dcterms:created>
  <dcterms:modified xsi:type="dcterms:W3CDTF">2018-02-28T16:34:00Z</dcterms:modified>
</cp:coreProperties>
</file>